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66</w:t>
      </w:r>
    </w:p>
    <w:p>
      <w:r>
        <w:t>Bundesgericht (BGE), 1973-12-18, DE</w:t>
      </w:r>
    </w:p>
    <w:p>
      <w:r>
        <w:rPr>
          <w:b/>
        </w:rPr>
        <w:t xml:space="preserve">Quelle: </w:t>
      </w:r>
      <w:r>
        <w:t>https://mcp.opencaselaw.ch/entscheid/bge_99 III 66</w:t>
      </w:r>
    </w:p>
    <w:p>
      <w:r>
        <w:t>FR: ATF 99 III 66</w:t>
      </w:r>
    </w:p>
    <w:p>
      <w:r>
        <w:t>IT: DTF 99 III 66</w:t>
      </w:r>
    </w:p>
    <w:p>
      <w:pPr>
        <w:pStyle w:val="Heading2"/>
      </w:pPr>
      <w:r>
        <w:t>Regeste</w:t>
      </w:r>
    </w:p>
    <w:p>
      <w:r>
        <w:t>Regeste Lastenverzeichnis im Konkurs; Umfang der Pfandhaft. 1. Faustpfandberechtigte an Schuldbriefen sind im Konkurs des Grundeigentümers legitimiert, gegen eine Verfügung des Konkursamtes, die den Umfang der Pfandhaft betrifft, Beschwerde zu führen (Erw. 1). 2. Ein Lastenverzeichnis, das keine klare Entscheidung darüber enthält, ob sich die Pfandhaft auf die Zugehör erstrecke oder nicht, ist nachträglich zu ergänzen und neu aufzulegen (Erw. 2, 4). 3. Das Lastenverzeichnis kann durch die Steigerungsbedingungen nicht abgeändert werden (Erw. 3).</w:t>
      </w:r>
    </w:p>
    <w:p>
      <w:pPr>
        <w:pStyle w:val="Heading2"/>
      </w:pPr>
      <w:r>
        <w:t>Erwägungen</w:t>
      </w:r>
    </w:p>
    <w:p>
      <w:r>
        <w:rPr>
          <w:b/>
        </w:rPr>
        <w:t>E. 1</w:t>
      </w:r>
    </w:p>
    <w:p>
      <w:r>
        <w:t>Das Obergericht hat der Wirtschaftsbank die Legitimation zur Beschwerdeführung abgesprochen mit der Begründung, diese stehe als Faustpfandgläubigerin einer Pfandgläubigerin in keiner rechtlichen Beziehung zum Konkursverfahren über die W. Fuchs &amp; Co; sie werde durch die Verwertung der Schuldbriefe nur tatsächlich berührt. Zur Beschwerde nach Art. 17 SchKG legitimiert sind die Parteien des Betreibungsverfahrens und solche Drittpersonen, die durch die angefochtene Verfügung in ihren rechtlich geschützten Interessen betroffen werden ( BGE 96 III 61 , BGE 87 III 4 mit Hinweisen). Als Faustpfandbesitzerin der Schuldbriefe hat die Wirtschaftsbank ein eigenes Interesse daran, dass sich die BGE 99 III 66 S. 69 Pfandhaft auf die Hotelzugehör erstreckt. Und zwar kann sie dieses Interesse im Konkurs des Eigentümers der verpfändeten Liegenschaft selbst wahrnehmen. Dritte mit Faustpfandrechten an Grundpfandtiteln sind gemäss Art. 40 Abs. 1 KV verpflichtet, diese Titel dem Konkursamt abzuliefern, wenn der Grundeigentümer in Konkurs fällt. Sie können ihre Faustpfandrechte in diesem Konkurs anmelden, auch wenn sich ihre Forderung nicht gegen den Gemeinschuldner richtet. Soweit möglich sind solche Pfandansprachen übrigens von Amtes wegen zu berücksichtigen ( Art. 246 SchKG ; BGE 64 III 70 ). Sie sind ins Lastenverzeichnis aufzunehmen und unterliegen dem Lastenbereinigungs- bzw. Kollokationsverfahren ( BGE 64 III 70 /71). Hat aber die Wirtschaftsbank das Recht, ihre Faustpfandansprache im Konkurs der W. Fuchs &amp; Co. anzumelden, und unterliegt diese Ansprache dort dem Lastenbereinigungsverfahren, so ist sie durch eine Verfügung des Konkursamtes, welche den Umfang der Pfandhaft betrifft, in ihren rechtlichen Interessen tangiert. Ihre Beschwerdelegitimation ist daher zu bejahen.</w:t>
      </w:r>
    </w:p>
    <w:p>
      <w:r>
        <w:rPr>
          <w:b/>
        </w:rPr>
        <w:t>E. 2</w:t>
      </w:r>
    </w:p>
    <w:p>
      <w:r>
        <w:t>Mit unbenutztem Ablauf der Frist von Art. 250 Abs. 1 SchKG erwächst das Lastenverzeichnis bzw. der Kollokationsplan, dessen Bestandteil es ist, in Rechtskraft. Dies setzt aber voraus, dass die Konkursverwaltung überhaupt über den angemeldeten Anspruch befunden hat. Als Entscheid im Sinne von Art. 245. SchKG kann nur eine Erklärung der Konkursverwaltung gelten. die in unmissverständlicher Weise zu erkennen gibt, ob und in welchem Ausmass der betreffende Gläubiger am Konkursergebnis teilnehmen soll. Fehlt es daran, so kann die Unterlassung der Kollokationsklage dem Gläubiger nicht schaden ( BGE 97 III 42 /43 mit Hinweisen, BGE 85 III 95 ff.). Wie die Vorinstanz zutreffend ausführt, enthält das Lastenverzeichnis im vorliegenden Fall keinen klaren und eindeutigen Entscheid darüber, ob sich die Pfandhaft auch auf die Zugehör erstrecke oder nicht. Der Vermerk, die Zugehöranmerkung im Grundbuch betreffe das Mobiliar des abgebrochenen Hotels, lässt die Frage offen, wie es sich mit demjenigen des neuen Hotels verhalte. Wenn die Konkursverwaltung die Haftung der Zugehör ausschliessen wollte, so hätte sie einen ausdrücklichen Entscheid treffen und der Eigentümerin der Schuldbriefe darüber eine Spezialanzeige zustellen müssen ( Art. 249 Abs. 3 SchKG , Art. 68 KV; BGE 97 III 42 /43). Als Faustpfandberechtigte BGE 99 III 66 S. 70 an den Schuldbriefen hatte überdies auch die Wirtschaftsbank Anspruch auf eine Spezialanzeige (vgl. BGE 64 III 68 ff.). Das Lastenverzeichnis weist somit in dieser Hinsicht einen Mangel auf. Wie in BGE 85 III 97 dargelegt wurde, kann ein solcher Mangel auch noch nach Ablauf der 10-tägigen Beschwerdefrist gerügt werden, da ein Kollokationsplan, der keine klare Entscheidung über eine angemeldete Forderung oder, wie im vorliegenden Fall, über den Umfang eines geltend gemachten Pfandrechts enthält, als Grundlage für die Verteilung des Konkursergebnisses schlechthin untauglich ist (vgl. auchBGE 55 III 42/43). Im übrigen hatten die Rekurrentinnen keinen Anlass, gegen das Lastenverzeichnis Beschwerde zu führen. Da sie keine Spezialanzeige über die Abweisung ihres sich aus dem Text der Pfandtitel ergebenden Anspruchs auf Mithaftung der Zugehör erhielten und da sich auch aus dem Lastenverzeichnis keine Abweisung herauslesen lässt, durften sie der Meinung sein, das Konkursamt anerkenne diesen Anspruch. Ihre Beschwerde ist daher nicht verspätet.</w:t>
      </w:r>
    </w:p>
    <w:p>
      <w:r>
        <w:rPr>
          <w:b/>
        </w:rPr>
        <w:t>E. 3</w:t>
      </w:r>
    </w:p>
    <w:p>
      <w:r>
        <w:t>Zu Unrecht nimmt das Obergericht an, das Lastenverzeichnis sei durch die Steigerungsbedingungen vervollständigt bzw. berichtigt worden, da darin die Auffassung des Konkursamtes, die im Hotel Continental befindliche Fahrnis sei nicht als Zugehör der Liegenschaft zu betrachten, klar zum Ausdruck komme. Gemäss Art. 45 Abs. 2 VZG , der auch im Konkursverfahren Anwendung findet ( Art. 130 Abs. 1 VZG ), ist das entsprechend dem Ausgang allfälliger Prozesse oder Beschwerden berichtigte oder ergänzte Lastenverzeichnis den Steigerungsbedingungen als Anhang beizufügen. Es kann daher durch diese nicht abgeändert werden. Den Rekurrentinnen kann deshalb kein Nachteil daraus erwachsen, dass sie keinen Einblick in die Steigerungsbedingungen nahmen und dagegen keine Beschwerde führten.</w:t>
      </w:r>
    </w:p>
    <w:p>
      <w:r>
        <w:rPr>
          <w:b/>
        </w:rPr>
        <w:t>E. 4</w:t>
      </w:r>
    </w:p>
    <w:p>
      <w:r>
        <w:t>Gibt das Lastenverzeichnis keine eindeutige Auskunft über den Umfang der Pfandhaft, so ist es nachträglich zu ergänzen. Das Konkursamt ist daher anzuweisen, eine klare und unmissverständliche Verfügung darüber zu treffen, ob sich die Pfandhaft auch auf die Zugehör erstrecke oder nicht, und das berichtigte Lastenverzeichnis neu aufzulegen. Der endgültige Entscheid in dieser Frage bleibt dem Richter in einem allfälligen Kollokationsprozess vorbehalten ( BGE 97 III 43 ). BGE 99 III 66 S. 71 Dispositiv Demnach erkennt die Schuldbetr.- und Konkurskammer: Der Rekurs wird gutgeheissen und der angefochtene Beschluss aufgehoben; das Konkursamt Altstetten-Zürich als Konkursverwaltung im Konkurs der W. Fuchs &amp; Co. wird angewiesen, den Kollokationsplan bzw. das Lastenverzeichnis über die Liegenschaft Hotel Continental in Lausanne durch einen eindeutigen Entscheid hinsichtlich der Haftung des Hotelmobiliars als Zugehör zu ergänzen und neu aufzulegen.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